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B592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center"/>
        <w:textAlignment w:val="auto"/>
        <w:rPr>
          <w:rFonts w:hint="default" w:asciiTheme="minorEastAsia" w:hAnsiTheme="minorEastAsia" w:eastAsiaTheme="minorEastAsia" w:cstheme="minorEastAsia"/>
          <w:b/>
          <w:bCs/>
          <w:sz w:val="32"/>
          <w:szCs w:val="40"/>
          <w:lang w:val="en-US" w:eastAsia="zh-CN"/>
        </w:rPr>
      </w:pPr>
      <w:bookmarkStart w:id="0" w:name="heading_9"/>
      <w:r>
        <w:rPr>
          <w:rFonts w:hint="eastAsia" w:asciiTheme="minorEastAsia" w:hAnsiTheme="minorEastAsia" w:eastAsiaTheme="minorEastAsia" w:cstheme="minorEastAsia"/>
          <w:b/>
          <w:bCs/>
          <w:sz w:val="32"/>
          <w:szCs w:val="40"/>
          <w:lang w:val="en-US" w:eastAsia="zh-CN"/>
        </w:rPr>
        <w:t>软件测试赛训资源采购需求</w:t>
      </w:r>
      <w:bookmarkStart w:id="4" w:name="_GoBack"/>
      <w:bookmarkEnd w:id="4"/>
    </w:p>
    <w:p w14:paraId="2B2574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Theme="minorEastAsia" w:hAnsiTheme="minorEastAsia" w:eastAsiaTheme="minorEastAsia" w:cstheme="minorEastAsia"/>
          <w:b/>
          <w:bCs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36"/>
          <w:lang w:val="en-US" w:eastAsia="zh-CN"/>
        </w:rPr>
        <w:t>一、技术条款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1545"/>
        <w:gridCol w:w="5310"/>
        <w:gridCol w:w="946"/>
      </w:tblGrid>
      <w:tr w14:paraId="01E83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1" w:type="dxa"/>
            <w:vAlign w:val="center"/>
          </w:tcPr>
          <w:p w14:paraId="49D138F5">
            <w:pPr>
              <w:bidi w:val="0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32"/>
                <w:lang w:val="en-US" w:eastAsia="zh-CN"/>
              </w:rPr>
              <w:t>序号</w:t>
            </w:r>
          </w:p>
        </w:tc>
        <w:tc>
          <w:tcPr>
            <w:tcW w:w="1545" w:type="dxa"/>
            <w:vAlign w:val="center"/>
          </w:tcPr>
          <w:p w14:paraId="03153B0C">
            <w:pPr>
              <w:bidi w:val="0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32"/>
                <w:lang w:val="en-US" w:eastAsia="zh-CN"/>
              </w:rPr>
              <w:t>名称</w:t>
            </w:r>
          </w:p>
        </w:tc>
        <w:tc>
          <w:tcPr>
            <w:tcW w:w="5310" w:type="dxa"/>
            <w:vAlign w:val="center"/>
          </w:tcPr>
          <w:p w14:paraId="0A785B25">
            <w:pPr>
              <w:bidi w:val="0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32"/>
                <w:lang w:val="en-US" w:eastAsia="zh-CN"/>
              </w:rPr>
              <w:t>规格参数</w:t>
            </w:r>
          </w:p>
        </w:tc>
        <w:tc>
          <w:tcPr>
            <w:tcW w:w="946" w:type="dxa"/>
            <w:vAlign w:val="center"/>
          </w:tcPr>
          <w:p w14:paraId="59910C00">
            <w:pPr>
              <w:bidi w:val="0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32"/>
                <w:lang w:val="en-US" w:eastAsia="zh-CN"/>
              </w:rPr>
              <w:t>数量</w:t>
            </w:r>
          </w:p>
        </w:tc>
      </w:tr>
      <w:tr w14:paraId="2B2B6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1" w:type="dxa"/>
            <w:vAlign w:val="center"/>
          </w:tcPr>
          <w:p w14:paraId="663F3BD0">
            <w:pPr>
              <w:bidi w:val="0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8"/>
                <w:lang w:val="en-US" w:eastAsia="zh-CN"/>
              </w:rPr>
              <w:t>1</w:t>
            </w:r>
          </w:p>
        </w:tc>
        <w:tc>
          <w:tcPr>
            <w:tcW w:w="1545" w:type="dxa"/>
            <w:vAlign w:val="center"/>
          </w:tcPr>
          <w:p w14:paraId="5B494C76">
            <w:pPr>
              <w:bidi w:val="0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软件测试赛训资源</w:t>
            </w:r>
          </w:p>
        </w:tc>
        <w:tc>
          <w:tcPr>
            <w:tcW w:w="5310" w:type="dxa"/>
            <w:vAlign w:val="center"/>
          </w:tcPr>
          <w:p w14:paraId="43B8B0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测试文档设计模块</w:t>
            </w:r>
          </w:p>
          <w:p w14:paraId="5B50D6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任务点包括：</w:t>
            </w:r>
          </w:p>
          <w:p w14:paraId="2BE3F8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 w:hanging="42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全流程测试文档规范设计：覆盖测试计划、测试用例、缺陷报告三类核心文档的编制方法与标准要求</w:t>
            </w:r>
          </w:p>
          <w:p w14:paraId="40EA79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 w:hanging="42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项目级测试报告综合设计：覆盖测试进度统计、缺陷分级分析、质量风险评估等完整模块，匹配赛项文档写作评分维度</w:t>
            </w:r>
          </w:p>
          <w:p w14:paraId="71405F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交付资源包括：</w:t>
            </w:r>
          </w:p>
          <w:p w14:paraId="78EF47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 w:hanging="42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  <w:t>授课PPT课件：包含测试计划、标准化测试用例、规范缺陷报告、综合测试报告全套授课课件；课件须配套理论讲解和标准模板，适配课堂授课与实训演示场景</w:t>
            </w:r>
          </w:p>
          <w:p w14:paraId="06F3EF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 w:hanging="42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  <w:t>知识点配套讲义：系统梳理测试文档编写的行业通用规范、国家标准、核心写作要点</w:t>
            </w:r>
          </w:p>
          <w:p w14:paraId="28643F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eastAsia="zh-CN"/>
              </w:rPr>
              <w:t>Java单元测试（JUnit）模块</w:t>
            </w:r>
          </w:p>
          <w:p w14:paraId="673280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任务点包括：</w:t>
            </w:r>
          </w:p>
          <w:p w14:paraId="00EC3D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 w:hanging="42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  <w:t>JUnit基础注解应用：覆盖核心注解的语法规则、执行顺序与业务场景适配</w:t>
            </w:r>
          </w:p>
          <w:p w14:paraId="0F0FDA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 w:hanging="42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  <w:t>JUnit断言方法实操：覆盖全类型断言的使用方法与结果校验逻辑</w:t>
            </w:r>
          </w:p>
          <w:p w14:paraId="3AF269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 w:hanging="42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  <w:t>JUnit专项测试：包含限时执行测试、预期异常测试两类场景的代码实现</w:t>
            </w:r>
          </w:p>
          <w:p w14:paraId="17D042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 w:hanging="42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  <w:t>JUnit高级功能：包含参数化测试配置、测试套件整合、TestRunner运行器调用三类核心应用</w:t>
            </w:r>
          </w:p>
          <w:p w14:paraId="59CFCE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交付资源包括：</w:t>
            </w:r>
          </w:p>
          <w:p w14:paraId="332263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 w:hanging="42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  <w:t>实训指导书：分步操作、任务要求、拓展练习；</w:t>
            </w:r>
          </w:p>
          <w:p w14:paraId="531357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 w:hanging="42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  <w:t>实训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参考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  <w:t>答案：完整代码、运行截图、错误案例分析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截图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  <w:t>；</w:t>
            </w:r>
          </w:p>
          <w:p w14:paraId="2EF225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eastAsia="zh-CN"/>
              </w:rPr>
            </w:pPr>
            <w:bookmarkStart w:id="1" w:name="heading_13"/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eastAsia="zh-CN"/>
              </w:rPr>
              <w:t>接口测试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模块</w:t>
            </w:r>
          </w:p>
          <w:p w14:paraId="220E3D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任务点包括：</w:t>
            </w:r>
          </w:p>
          <w:p w14:paraId="6B4F25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 w:hanging="42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基于PostMan的接口功能测试：覆盖请求构建、环境配置、断言设置、集合执行全流程</w:t>
            </w:r>
          </w:p>
          <w:p w14:paraId="6DB87B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 w:hanging="42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基于JMeter的接口测试：覆盖脚本开发、参数化、关联、断言、场景执行全流程</w:t>
            </w:r>
          </w:p>
          <w:p w14:paraId="796908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交付内容包括：</w:t>
            </w:r>
          </w:p>
          <w:p w14:paraId="52C723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 w:hanging="42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  <w:t>实训指导书：采用任务驱动式设计，设置分步骤基础实训任务与多业务场景综合练习，覆盖单接口测试、接口串联、异常场景校验等核心场景</w:t>
            </w:r>
          </w:p>
          <w:p w14:paraId="102D81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 w:hanging="42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  <w:t>实训参考答案：包含完整的接口请求配置文件、可复用测试脚本、响应结果分析报告，明确校验逻辑与问题定位方法</w:t>
            </w:r>
          </w:p>
          <w:p w14:paraId="25E58E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 w:hanging="42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  <w:t>教学视频：覆盖工具基础操作、接口联调全流程、常见报错排查三大板块，操作演示清晰，关键步骤有讲解提示</w:t>
            </w:r>
          </w:p>
          <w:p w14:paraId="397D46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eastAsia="zh-CN"/>
              </w:rPr>
              <w:t>功能测试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模块</w:t>
            </w:r>
          </w:p>
          <w:p w14:paraId="44C691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任务点包括：</w:t>
            </w:r>
          </w:p>
          <w:p w14:paraId="330CFB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 w:hanging="42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  <w:t>测试用例设计方法：覆盖等价类、边界值、场景法、判定表等主流用例设计方法</w:t>
            </w:r>
          </w:p>
          <w:p w14:paraId="728B06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 w:hanging="42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  <w:t>测试用例执行与缺陷管理：覆盖用例执行规范、缺陷定级标准、缺陷生命周期管理、回归测试流程</w:t>
            </w:r>
          </w:p>
          <w:p w14:paraId="4D6B5C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交付内容包括：</w:t>
            </w:r>
          </w:p>
          <w:p w14:paraId="7B8B4A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 w:hanging="42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  <w:t>授课PPT课件：覆盖软件测试基础理论、主流测试方法、用例设计实战、缺陷管理体系、回归测试策略全套内容</w:t>
            </w:r>
          </w:p>
          <w:p w14:paraId="205C5F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 w:hanging="42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  <w:t>知识点配套讲义：采用“测试理论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+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  <w:t>业务场景”结合的讲解方式，拆解不同业务场景下的测试思路与用例设计逻辑，避免纯理论化表述</w:t>
            </w:r>
          </w:p>
          <w:bookmarkEnd w:id="1"/>
          <w:p w14:paraId="3C0B55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eastAsia="zh-CN"/>
              </w:rPr>
            </w:pPr>
            <w:bookmarkStart w:id="2" w:name="heading_15"/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eastAsia="zh-CN"/>
              </w:rPr>
              <w:t>自动化测试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模块</w:t>
            </w:r>
          </w:p>
          <w:p w14:paraId="2BCCEE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任务点包括：</w:t>
            </w:r>
          </w:p>
          <w:p w14:paraId="11D6D0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 w:hanging="42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基于Python的UI自动化测试：覆盖环境搭建、元素定位、脚本开发、框架封装核心能力</w:t>
            </w:r>
          </w:p>
          <w:p w14:paraId="7325E1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 w:hanging="42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基于Java的自动化测试：覆盖脚本编写、调试、场景落地全流程</w:t>
            </w:r>
          </w:p>
          <w:p w14:paraId="42821F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交付内容包括：</w:t>
            </w:r>
          </w:p>
          <w:p w14:paraId="67EA62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 w:hanging="42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  <w:t>实训指导书：遵循“基础操作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-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  <w:t>专项实训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-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  <w:t>综合实战”三级进阶体系，由浅入深覆盖自动化测试全部核心操作</w:t>
            </w:r>
          </w:p>
          <w:p w14:paraId="2FC16A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 w:hanging="42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  <w:t>实训参考答案：提供完整可运行的项目源码、脚本运行效果演示、脚本性能优化与可维护性提升方案</w:t>
            </w:r>
          </w:p>
          <w:p w14:paraId="070CC5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 w:hanging="42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  <w:t>教学视频：完整呈现环脚本逐行编写、调试排错、项目实战落地全流程，关键知识点配套原理讲解</w:t>
            </w:r>
          </w:p>
          <w:p w14:paraId="7E3BB3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eastAsia="zh-CN"/>
              </w:rPr>
              <w:t>性能测试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模块</w:t>
            </w:r>
          </w:p>
          <w:p w14:paraId="5EEC48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任务点包括：</w:t>
            </w:r>
          </w:p>
          <w:p w14:paraId="0DC155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 w:hanging="42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  <w:t>基于LoadRunner的性能测试：覆盖脚本录制调试、场景设计、加压执行、结果分析全流程</w:t>
            </w:r>
          </w:p>
          <w:p w14:paraId="72D94A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 w:hanging="42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  <w:t>基于JMeter的性能测试：覆盖脚本开发、场景配置、指标监控、报告输出全流程</w:t>
            </w:r>
          </w:p>
          <w:bookmarkEnd w:id="2"/>
          <w:p w14:paraId="52ED5B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交付内容包括：</w:t>
            </w:r>
          </w:p>
          <w:p w14:paraId="5283D9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 w:hanging="42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  <w:t>实训指导书：JMeter方向设置专题；LoadRunner方向设置专题</w:t>
            </w:r>
          </w:p>
          <w:p w14:paraId="2C4BC6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 w:hanging="42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  <w:t>实训参考答案：包含完整测试脚本配置文件、压测场景参数设置模板、性能测试结果分析等</w:t>
            </w:r>
          </w:p>
          <w:p w14:paraId="5852B9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 w:hanging="42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  <w:t>教学视频：覆盖脚本录制与优化、多场景加压配置、性能图表解读等环节演示</w:t>
            </w:r>
          </w:p>
        </w:tc>
        <w:tc>
          <w:tcPr>
            <w:tcW w:w="946" w:type="dxa"/>
            <w:vAlign w:val="center"/>
          </w:tcPr>
          <w:p w14:paraId="0E642995">
            <w:pPr>
              <w:bidi w:val="0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1套</w:t>
            </w:r>
          </w:p>
        </w:tc>
      </w:tr>
      <w:bookmarkEnd w:id="0"/>
    </w:tbl>
    <w:p w14:paraId="181050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Chars="0" w:firstLine="440" w:firstLineChars="200"/>
        <w:textAlignment w:val="auto"/>
        <w:rPr>
          <w:rFonts w:hint="eastAsia" w:asciiTheme="minorEastAsia" w:hAnsiTheme="minorEastAsia" w:eastAsiaTheme="minorEastAsia" w:cstheme="minorEastAsia"/>
          <w:sz w:val="22"/>
          <w:szCs w:val="22"/>
          <w:lang w:val="en-US" w:eastAsia="zh-CN"/>
        </w:rPr>
      </w:pPr>
    </w:p>
    <w:p w14:paraId="7CE394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36"/>
          <w:lang w:val="en-US" w:eastAsia="zh-CN"/>
        </w:rPr>
        <w:t>二、商务条款</w:t>
      </w:r>
    </w:p>
    <w:p w14:paraId="11B5BB5E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5" w:leftChars="0" w:hanging="425" w:firstLineChars="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bookmarkStart w:id="3" w:name="heading_21"/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资源通用质量标准</w:t>
      </w:r>
      <w:bookmarkEnd w:id="3"/>
    </w:p>
    <w:p w14:paraId="673F48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Chars="0" w:firstLine="440" w:firstLineChars="200"/>
        <w:textAlignment w:val="auto"/>
        <w:rPr>
          <w:rFonts w:hint="eastAsia" w:ascii="宋体" w:hAnsi="宋体" w:cs="宋体"/>
          <w:sz w:val="22"/>
          <w:szCs w:val="22"/>
          <w:lang w:val="en-US" w:eastAsia="zh-CN"/>
        </w:rPr>
      </w:pPr>
      <w:r>
        <w:rPr>
          <w:rFonts w:hint="eastAsia" w:ascii="宋体" w:hAnsi="宋体" w:cs="宋体"/>
          <w:sz w:val="22"/>
          <w:szCs w:val="22"/>
          <w:lang w:val="en-US" w:eastAsia="zh-CN"/>
        </w:rPr>
        <w:t>（1）所有文档类资源（PPT、讲义、指导书、参考答案）须提供可编辑的格式，排版规范、无错别字、逻辑一致；代码类资源须符合对应语言的编码规范，含完整注释，可直接运行；</w:t>
      </w:r>
    </w:p>
    <w:p w14:paraId="5C04B7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Chars="0" w:firstLine="440" w:firstLineChars="200"/>
        <w:textAlignment w:val="auto"/>
        <w:rPr>
          <w:rFonts w:hint="eastAsia" w:ascii="宋体" w:hAnsi="宋体" w:cs="宋体"/>
          <w:sz w:val="22"/>
          <w:szCs w:val="22"/>
          <w:lang w:val="en-US" w:eastAsia="zh-CN"/>
        </w:rPr>
      </w:pPr>
      <w:r>
        <w:rPr>
          <w:rFonts w:hint="eastAsia" w:ascii="宋体" w:hAnsi="宋体" w:cs="宋体"/>
          <w:sz w:val="22"/>
          <w:szCs w:val="22"/>
          <w:lang w:val="en-US" w:eastAsia="zh-CN"/>
        </w:rPr>
        <w:t>（2）教学视频采用MP4格式，分辨率不低于1080P，画面清晰、声音清楚，无水印、无第三方平台标识；</w:t>
      </w:r>
    </w:p>
    <w:p w14:paraId="220EAE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Chars="0" w:firstLine="440" w:firstLineChars="200"/>
        <w:textAlignment w:val="auto"/>
        <w:rPr>
          <w:rFonts w:hint="eastAsia" w:ascii="宋体" w:hAnsi="宋体" w:cs="宋体"/>
          <w:sz w:val="22"/>
          <w:szCs w:val="22"/>
          <w:lang w:val="en-US" w:eastAsia="zh-CN"/>
        </w:rPr>
      </w:pPr>
      <w:r>
        <w:rPr>
          <w:rFonts w:hint="eastAsia" w:ascii="宋体" w:hAnsi="宋体" w:cs="宋体"/>
          <w:sz w:val="22"/>
          <w:szCs w:val="22"/>
          <w:lang w:val="en-US" w:eastAsia="zh-CN"/>
        </w:rPr>
        <w:t>（3）所有实训案例须配套独立的测试环境部署说明，确保可在采购方现有实训室环境中复现。</w:t>
      </w:r>
    </w:p>
    <w:p w14:paraId="09853197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5" w:leftChars="0" w:hanging="425" w:firstLineChars="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交付与验收要求</w:t>
      </w:r>
    </w:p>
    <w:p w14:paraId="769471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Chars="0" w:firstLine="440" w:firstLineChars="200"/>
        <w:textAlignment w:val="auto"/>
        <w:rPr>
          <w:rFonts w:hint="eastAsia" w:ascii="宋体" w:hAnsi="宋体" w:cs="宋体"/>
          <w:sz w:val="22"/>
          <w:szCs w:val="22"/>
          <w:lang w:val="en-US" w:eastAsia="zh-CN"/>
        </w:rPr>
      </w:pPr>
      <w:r>
        <w:rPr>
          <w:rFonts w:hint="eastAsia" w:ascii="宋体" w:hAnsi="宋体" w:cs="宋体"/>
          <w:sz w:val="22"/>
          <w:szCs w:val="22"/>
          <w:lang w:val="en-US" w:eastAsia="zh-CN"/>
        </w:rPr>
        <w:t>（1）交付周期：合同签订后7日内完成全部资源交付与部署；</w:t>
      </w:r>
    </w:p>
    <w:p w14:paraId="75DC0D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Chars="0" w:firstLine="440" w:firstLineChars="200"/>
        <w:textAlignment w:val="auto"/>
        <w:rPr>
          <w:rFonts w:hint="eastAsia" w:ascii="宋体" w:hAnsi="宋体" w:cs="宋体"/>
          <w:sz w:val="22"/>
          <w:szCs w:val="22"/>
          <w:lang w:val="en-US" w:eastAsia="zh-CN"/>
        </w:rPr>
      </w:pPr>
      <w:r>
        <w:rPr>
          <w:rFonts w:hint="eastAsia" w:ascii="宋体" w:hAnsi="宋体" w:cs="宋体"/>
          <w:sz w:val="22"/>
          <w:szCs w:val="22"/>
          <w:lang w:val="en-US" w:eastAsia="zh-CN"/>
        </w:rPr>
        <w:t>（2）验收标准：</w:t>
      </w:r>
    </w:p>
    <w:p w14:paraId="71E84C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Chars="0" w:firstLine="440" w:firstLineChars="200"/>
        <w:textAlignment w:val="auto"/>
        <w:rPr>
          <w:rFonts w:hint="eastAsia" w:ascii="宋体" w:hAnsi="宋体" w:cs="宋体"/>
          <w:sz w:val="22"/>
          <w:szCs w:val="22"/>
          <w:lang w:val="en-US" w:eastAsia="zh-CN"/>
        </w:rPr>
      </w:pPr>
      <w:r>
        <w:rPr>
          <w:rFonts w:hint="eastAsia" w:ascii="宋体" w:hAnsi="宋体" w:cs="宋体"/>
          <w:sz w:val="22"/>
          <w:szCs w:val="22"/>
          <w:lang w:val="en-US" w:eastAsia="zh-CN"/>
        </w:rPr>
        <w:t>形式验收：核对交付物清单、格式、数量是否完全响应需求；</w:t>
      </w:r>
    </w:p>
    <w:p w14:paraId="19262E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Chars="0" w:firstLine="440" w:firstLineChars="200"/>
        <w:textAlignment w:val="auto"/>
        <w:rPr>
          <w:rFonts w:hint="eastAsia" w:ascii="宋体" w:hAnsi="宋体" w:cs="宋体"/>
          <w:sz w:val="22"/>
          <w:szCs w:val="22"/>
          <w:lang w:val="en-US" w:eastAsia="zh-CN"/>
        </w:rPr>
      </w:pPr>
      <w:r>
        <w:rPr>
          <w:rFonts w:hint="eastAsia" w:ascii="宋体" w:hAnsi="宋体" w:cs="宋体"/>
          <w:sz w:val="22"/>
          <w:szCs w:val="22"/>
          <w:lang w:val="en-US" w:eastAsia="zh-CN"/>
        </w:rPr>
        <w:t>内容验收：核验所有知识点覆盖度、赛项匹配度、案例可运行性；</w:t>
      </w:r>
    </w:p>
    <w:p w14:paraId="18957C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Chars="0" w:firstLine="440" w:firstLineChars="200"/>
        <w:textAlignment w:val="auto"/>
        <w:rPr>
          <w:rFonts w:hint="eastAsia" w:ascii="宋体" w:hAnsi="宋体" w:cs="宋体"/>
          <w:sz w:val="22"/>
          <w:szCs w:val="22"/>
          <w:lang w:val="en-US" w:eastAsia="zh-CN"/>
        </w:rPr>
      </w:pPr>
      <w:r>
        <w:rPr>
          <w:rFonts w:hint="eastAsia" w:ascii="宋体" w:hAnsi="宋体" w:cs="宋体"/>
          <w:sz w:val="22"/>
          <w:szCs w:val="22"/>
          <w:lang w:val="en-US" w:eastAsia="zh-CN"/>
        </w:rPr>
        <w:t>（3）验收通过后出具正式验收报告，作为款项支付依据。</w:t>
      </w:r>
    </w:p>
    <w:p w14:paraId="437055B2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5" w:leftChars="0" w:hanging="425" w:firstLineChars="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售后服务要求</w:t>
      </w:r>
    </w:p>
    <w:p w14:paraId="3511B0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Chars="0" w:firstLine="440" w:firstLineChars="200"/>
        <w:textAlignment w:val="auto"/>
        <w:rPr>
          <w:rFonts w:hint="eastAsia" w:ascii="宋体" w:hAnsi="宋体" w:cs="宋体"/>
          <w:sz w:val="22"/>
          <w:szCs w:val="22"/>
          <w:lang w:val="en-US" w:eastAsia="zh-CN"/>
        </w:rPr>
      </w:pPr>
      <w:r>
        <w:rPr>
          <w:rFonts w:hint="eastAsia" w:ascii="宋体" w:hAnsi="宋体" w:cs="宋体"/>
          <w:sz w:val="22"/>
          <w:szCs w:val="22"/>
          <w:lang w:val="en-US" w:eastAsia="zh-CN"/>
        </w:rPr>
        <w:t>（1）提供1年免费内容更新服务；</w:t>
      </w:r>
    </w:p>
    <w:p w14:paraId="05EE93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Chars="0" w:firstLine="440" w:firstLineChars="200"/>
        <w:textAlignment w:val="auto"/>
        <w:rPr>
          <w:rFonts w:hint="eastAsia" w:ascii="宋体" w:hAnsi="宋体" w:cs="宋体"/>
          <w:sz w:val="22"/>
          <w:szCs w:val="22"/>
          <w:lang w:val="en-US" w:eastAsia="zh-CN"/>
        </w:rPr>
      </w:pPr>
      <w:r>
        <w:rPr>
          <w:rFonts w:hint="eastAsia" w:ascii="宋体" w:hAnsi="宋体" w:cs="宋体"/>
          <w:sz w:val="22"/>
          <w:szCs w:val="22"/>
          <w:lang w:val="en-US" w:eastAsia="zh-CN"/>
        </w:rPr>
        <w:t>（2）提供线下/线上师资培训，覆盖资源使用方法、赛项备赛指导、教学实施建议，保障授课老师可独立开展教学与训练；</w:t>
      </w:r>
    </w:p>
    <w:p w14:paraId="663265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Chars="0" w:firstLine="440" w:firstLineChars="200"/>
        <w:textAlignment w:val="auto"/>
        <w:rPr>
          <w:rFonts w:hint="eastAsia" w:ascii="宋体" w:hAnsi="宋体" w:cs="宋体"/>
          <w:sz w:val="22"/>
          <w:szCs w:val="22"/>
          <w:lang w:val="en-US" w:eastAsia="zh-CN"/>
        </w:rPr>
      </w:pPr>
      <w:r>
        <w:rPr>
          <w:rFonts w:hint="eastAsia" w:ascii="宋体" w:hAnsi="宋体" w:cs="宋体"/>
          <w:sz w:val="22"/>
          <w:szCs w:val="22"/>
          <w:lang w:val="en-US" w:eastAsia="zh-CN"/>
        </w:rPr>
        <w:t>（3）提供7×12小时技术支持，响应资源使用中的问题与bug修复需求。</w:t>
      </w:r>
    </w:p>
    <w:p w14:paraId="3C814E2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both"/>
        <w:textAlignment w:val="auto"/>
        <w:rPr>
          <w:rFonts w:hint="eastAsia" w:asciiTheme="minorEastAsia" w:hAnsiTheme="minorEastAsia" w:eastAsiaTheme="minorEastAsia" w:cstheme="minorEastAsia"/>
          <w:sz w:val="22"/>
          <w:szCs w:val="2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121C77"/>
    <w:multiLevelType w:val="singleLevel"/>
    <w:tmpl w:val="CF121C77"/>
    <w:lvl w:ilvl="0" w:tentative="0">
      <w:start w:val="1"/>
      <w:numFmt w:val="decimal"/>
      <w:suff w:val="space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2E07DC6A"/>
    <w:multiLevelType w:val="singleLevel"/>
    <w:tmpl w:val="2E07DC6A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abstractNum w:abstractNumId="2">
    <w:nsid w:val="390F8296"/>
    <w:multiLevelType w:val="singleLevel"/>
    <w:tmpl w:val="390F8296"/>
    <w:lvl w:ilvl="0" w:tentative="0">
      <w:start w:val="1"/>
      <w:numFmt w:val="decimal"/>
      <w:suff w:val="space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716FD0"/>
    <w:rsid w:val="008B73C2"/>
    <w:rsid w:val="00A76AAF"/>
    <w:rsid w:val="00C17DF6"/>
    <w:rsid w:val="02226FAC"/>
    <w:rsid w:val="031273D2"/>
    <w:rsid w:val="052027CE"/>
    <w:rsid w:val="0ADE7F17"/>
    <w:rsid w:val="0AF41612"/>
    <w:rsid w:val="0B204BAA"/>
    <w:rsid w:val="114F7F97"/>
    <w:rsid w:val="11F0335B"/>
    <w:rsid w:val="11FE3E97"/>
    <w:rsid w:val="12545351"/>
    <w:rsid w:val="12C51E8E"/>
    <w:rsid w:val="1336248E"/>
    <w:rsid w:val="14DE58BA"/>
    <w:rsid w:val="168B3F87"/>
    <w:rsid w:val="172427CA"/>
    <w:rsid w:val="1782529E"/>
    <w:rsid w:val="1C7E2CF4"/>
    <w:rsid w:val="1FA92F69"/>
    <w:rsid w:val="217046FB"/>
    <w:rsid w:val="25716FD0"/>
    <w:rsid w:val="26404627"/>
    <w:rsid w:val="275E0392"/>
    <w:rsid w:val="287C121A"/>
    <w:rsid w:val="28B77566"/>
    <w:rsid w:val="2BD733B6"/>
    <w:rsid w:val="2C581F9E"/>
    <w:rsid w:val="2D5D5673"/>
    <w:rsid w:val="2ED063A8"/>
    <w:rsid w:val="2F0A41D8"/>
    <w:rsid w:val="32A45FA2"/>
    <w:rsid w:val="32CF28C2"/>
    <w:rsid w:val="34387FDB"/>
    <w:rsid w:val="3523620D"/>
    <w:rsid w:val="38FF18D3"/>
    <w:rsid w:val="391F631E"/>
    <w:rsid w:val="39990239"/>
    <w:rsid w:val="3B8E3F09"/>
    <w:rsid w:val="3BEE2461"/>
    <w:rsid w:val="3C1F33EF"/>
    <w:rsid w:val="3CE17A2B"/>
    <w:rsid w:val="3EDB7C24"/>
    <w:rsid w:val="3F392EA7"/>
    <w:rsid w:val="43CD6C99"/>
    <w:rsid w:val="44E03839"/>
    <w:rsid w:val="4565582E"/>
    <w:rsid w:val="463D3884"/>
    <w:rsid w:val="472C3409"/>
    <w:rsid w:val="47952AA8"/>
    <w:rsid w:val="485A1120"/>
    <w:rsid w:val="49320E3E"/>
    <w:rsid w:val="494F2256"/>
    <w:rsid w:val="4AB97F8F"/>
    <w:rsid w:val="4ACE3700"/>
    <w:rsid w:val="4BF648A3"/>
    <w:rsid w:val="4DC21FF9"/>
    <w:rsid w:val="4E8F4402"/>
    <w:rsid w:val="4F0837E1"/>
    <w:rsid w:val="4F760141"/>
    <w:rsid w:val="5131339E"/>
    <w:rsid w:val="53FF492A"/>
    <w:rsid w:val="563D28BF"/>
    <w:rsid w:val="56794D39"/>
    <w:rsid w:val="57833B5E"/>
    <w:rsid w:val="58F84874"/>
    <w:rsid w:val="5B55313D"/>
    <w:rsid w:val="5B9B054F"/>
    <w:rsid w:val="611B0AA6"/>
    <w:rsid w:val="61D54F1C"/>
    <w:rsid w:val="68C87EC4"/>
    <w:rsid w:val="698735C3"/>
    <w:rsid w:val="6A972DFD"/>
    <w:rsid w:val="6A9F256B"/>
    <w:rsid w:val="6B6B0204"/>
    <w:rsid w:val="6B9D4684"/>
    <w:rsid w:val="6BC90CA9"/>
    <w:rsid w:val="6CA73730"/>
    <w:rsid w:val="6DE24C48"/>
    <w:rsid w:val="70DA4CC5"/>
    <w:rsid w:val="712E63F7"/>
    <w:rsid w:val="71EC21CD"/>
    <w:rsid w:val="76A809F9"/>
    <w:rsid w:val="77D777E8"/>
    <w:rsid w:val="78112E25"/>
    <w:rsid w:val="7ADE305D"/>
    <w:rsid w:val="7B6C0247"/>
    <w:rsid w:val="7D742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99"/>
    <w:pPr>
      <w:ind w:firstLine="420" w:firstLineChars="200"/>
    </w:p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正文（缩进）"/>
    <w:basedOn w:val="1"/>
    <w:qFormat/>
    <w:uiPriority w:val="0"/>
    <w:pPr>
      <w:spacing w:before="156" w:beforeLines="50" w:after="156" w:afterLines="50"/>
      <w:ind w:firstLine="480" w:firstLineChars="200"/>
    </w:pPr>
    <w:rPr>
      <w:rFonts w:ascii="Times New Roman" w:hAnsi="Times New Roman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1722</Words>
  <Characters>1817</Characters>
  <Lines>0</Lines>
  <Paragraphs>0</Paragraphs>
  <TotalTime>0</TotalTime>
  <ScaleCrop>false</ScaleCrop>
  <LinksUpToDate>false</LinksUpToDate>
  <CharactersWithSpaces>1817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2026-06-10T16:04:00Z</dcterms:created>
  <dc:creator>南风过境</dc:creator>
  <cp:lastModifiedBy>WPS_1558921233</cp:lastModifiedBy>
  <dcterms:modified xsi:type="dcterms:W3CDTF">2026-09-10T02:05:28Z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2D8D8CD927E24D6FBD01B5CA943892EA_11</vt:lpwstr>
  </property>
  <property fmtid="{D5CDD505-2E9C-101B-9397-08002B2CF9AE}" pid="4" name="KSOTemplateDocerSaveRecord">
    <vt:lpwstr>eyJoZGlkIjoiOWJmNDQ0Mjg5OTg2MzE3Yzg3YzIzOWJmNGZiZThkNDgiLCJ1c2VySWQiOiI1NjU1NDc2MzUifQ==</vt:lpwstr>
  </property>
</Properties>
</file>